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7B72" w:rsidRDefault="004C4AA6">
      <w:pPr>
        <w:pStyle w:val="1"/>
        <w:snapToGrid w:val="0"/>
        <w:spacing w:before="280" w:after="0" w:line="240" w:lineRule="atLeast"/>
        <w:jc w:val="both"/>
      </w:pPr>
      <w:r>
        <w:rPr>
          <w:rStyle w:val="a0"/>
          <w:rFonts w:ascii="Times New Roman" w:eastAsia="標楷體" w:hAnsi="Times New Roman"/>
          <w:sz w:val="36"/>
          <w:szCs w:val="36"/>
        </w:rPr>
        <w:t>Verificat</w:t>
      </w:r>
      <w:r>
        <w:rPr>
          <w:rStyle w:val="a0"/>
          <w:rFonts w:ascii="Times New Roman" w:eastAsia="標楷體" w:hAnsi="Times New Roman"/>
          <w:sz w:val="32"/>
          <w:szCs w:val="32"/>
        </w:rPr>
        <w:t>ion Guidelines for the Application of Dissertation Oral Examination of the Department of Soil and Water Conservation, NCHU</w:t>
      </w:r>
    </w:p>
    <w:p w:rsidR="00A97B72" w:rsidRDefault="00A97B72">
      <w:pPr>
        <w:pStyle w:val="Standard"/>
      </w:pPr>
    </w:p>
    <w:p w:rsidR="00A97B72" w:rsidRDefault="004C4AA6">
      <w:pPr>
        <w:pStyle w:val="Standard"/>
        <w:spacing w:line="240" w:lineRule="exact"/>
        <w:jc w:val="right"/>
      </w:pPr>
      <w:r>
        <w:rPr>
          <w:rStyle w:val="a0"/>
          <w:rFonts w:eastAsia="標楷體"/>
          <w:sz w:val="20"/>
        </w:rPr>
        <w:t>Approved by department affairs meeting on July 26</w:t>
      </w:r>
      <w:r>
        <w:rPr>
          <w:rStyle w:val="a0"/>
          <w:rFonts w:eastAsia="標楷體"/>
          <w:sz w:val="20"/>
          <w:vertAlign w:val="superscript"/>
        </w:rPr>
        <w:t>th</w:t>
      </w:r>
      <w:r>
        <w:rPr>
          <w:rStyle w:val="a0"/>
          <w:rFonts w:eastAsia="標楷體"/>
          <w:sz w:val="20"/>
        </w:rPr>
        <w:t>, 2005</w:t>
      </w:r>
    </w:p>
    <w:p w:rsidR="00A97B72" w:rsidRDefault="004C4AA6">
      <w:pPr>
        <w:pStyle w:val="Standard"/>
        <w:spacing w:line="240" w:lineRule="exact"/>
        <w:jc w:val="right"/>
      </w:pPr>
      <w:r>
        <w:rPr>
          <w:rStyle w:val="a0"/>
          <w:rFonts w:eastAsia="標楷體"/>
          <w:sz w:val="20"/>
        </w:rPr>
        <w:t>Implemented on Aug. 1</w:t>
      </w:r>
      <w:r>
        <w:rPr>
          <w:rStyle w:val="a0"/>
          <w:rFonts w:eastAsia="標楷體"/>
          <w:sz w:val="20"/>
          <w:vertAlign w:val="superscript"/>
        </w:rPr>
        <w:t>st</w:t>
      </w:r>
      <w:r>
        <w:rPr>
          <w:rStyle w:val="a0"/>
          <w:rFonts w:eastAsia="標楷體"/>
          <w:sz w:val="20"/>
        </w:rPr>
        <w:t>, 2006</w:t>
      </w:r>
    </w:p>
    <w:p w:rsidR="00A97B72" w:rsidRDefault="004C4AA6">
      <w:pPr>
        <w:pStyle w:val="Standard"/>
        <w:spacing w:line="240" w:lineRule="exact"/>
        <w:jc w:val="right"/>
      </w:pPr>
      <w:r>
        <w:rPr>
          <w:rStyle w:val="a0"/>
          <w:rFonts w:eastAsia="標楷體"/>
          <w:sz w:val="20"/>
        </w:rPr>
        <w:t>Amended by department affairs meeting on May 10</w:t>
      </w:r>
      <w:r>
        <w:rPr>
          <w:rStyle w:val="a0"/>
          <w:rFonts w:eastAsia="標楷體"/>
          <w:sz w:val="20"/>
          <w:vertAlign w:val="superscript"/>
        </w:rPr>
        <w:t>th</w:t>
      </w:r>
      <w:r>
        <w:rPr>
          <w:rStyle w:val="a0"/>
          <w:rFonts w:eastAsia="標楷體"/>
          <w:sz w:val="20"/>
        </w:rPr>
        <w:t>, 2007</w:t>
      </w:r>
    </w:p>
    <w:p w:rsidR="00A97B72" w:rsidRDefault="004C4AA6">
      <w:pPr>
        <w:pStyle w:val="Standard"/>
        <w:spacing w:line="240" w:lineRule="exact"/>
        <w:jc w:val="right"/>
      </w:pPr>
      <w:r>
        <w:rPr>
          <w:rStyle w:val="a0"/>
          <w:rFonts w:eastAsia="標楷體"/>
          <w:sz w:val="20"/>
        </w:rPr>
        <w:t>Amended by department affairs meeting on Oct. 8</w:t>
      </w:r>
      <w:r>
        <w:rPr>
          <w:rStyle w:val="a0"/>
          <w:rFonts w:eastAsia="標楷體"/>
          <w:sz w:val="20"/>
          <w:vertAlign w:val="superscript"/>
        </w:rPr>
        <w:t>th</w:t>
      </w:r>
      <w:r>
        <w:rPr>
          <w:rStyle w:val="a0"/>
          <w:rFonts w:eastAsia="標楷體"/>
          <w:sz w:val="20"/>
        </w:rPr>
        <w:t>, 2007</w:t>
      </w:r>
    </w:p>
    <w:p w:rsidR="00A97B72" w:rsidRDefault="004C4AA6">
      <w:pPr>
        <w:pStyle w:val="Standard"/>
        <w:spacing w:line="240" w:lineRule="exact"/>
        <w:jc w:val="right"/>
      </w:pPr>
      <w:r>
        <w:rPr>
          <w:rStyle w:val="a0"/>
          <w:rFonts w:eastAsia="標楷體"/>
          <w:sz w:val="20"/>
        </w:rPr>
        <w:t>Amended by department affairs meeting on May 6</w:t>
      </w:r>
      <w:r>
        <w:rPr>
          <w:rStyle w:val="a0"/>
          <w:rFonts w:eastAsia="標楷體"/>
          <w:sz w:val="20"/>
          <w:vertAlign w:val="superscript"/>
        </w:rPr>
        <w:t>th</w:t>
      </w:r>
      <w:r>
        <w:rPr>
          <w:rStyle w:val="a0"/>
          <w:rFonts w:eastAsia="標楷體"/>
          <w:sz w:val="20"/>
        </w:rPr>
        <w:t>, 2008</w:t>
      </w:r>
    </w:p>
    <w:p w:rsidR="00A97B72" w:rsidRDefault="004C4AA6">
      <w:pPr>
        <w:pStyle w:val="Standard"/>
        <w:spacing w:line="240" w:lineRule="exact"/>
        <w:jc w:val="right"/>
      </w:pPr>
      <w:r>
        <w:rPr>
          <w:rStyle w:val="a0"/>
          <w:rFonts w:eastAsia="標楷體"/>
          <w:sz w:val="20"/>
        </w:rPr>
        <w:t>Amended by department affairs meeting on Sep. 10</w:t>
      </w:r>
      <w:r>
        <w:rPr>
          <w:rStyle w:val="a0"/>
          <w:rFonts w:eastAsia="標楷體"/>
          <w:sz w:val="20"/>
          <w:vertAlign w:val="superscript"/>
        </w:rPr>
        <w:t>th</w:t>
      </w:r>
      <w:r>
        <w:rPr>
          <w:rStyle w:val="a0"/>
          <w:rFonts w:eastAsia="標楷體"/>
          <w:sz w:val="20"/>
        </w:rPr>
        <w:t>, 2008</w:t>
      </w:r>
    </w:p>
    <w:p w:rsidR="00A97B72" w:rsidRDefault="004C4AA6">
      <w:pPr>
        <w:pStyle w:val="Standard"/>
        <w:spacing w:line="240" w:lineRule="exact"/>
        <w:jc w:val="right"/>
      </w:pPr>
      <w:r>
        <w:rPr>
          <w:rStyle w:val="a0"/>
          <w:rFonts w:eastAsia="標楷體"/>
          <w:sz w:val="20"/>
        </w:rPr>
        <w:t>Amended by department affairs meeting on Feb. 10</w:t>
      </w:r>
      <w:r>
        <w:rPr>
          <w:rStyle w:val="a0"/>
          <w:rFonts w:eastAsia="標楷體"/>
          <w:sz w:val="20"/>
          <w:vertAlign w:val="superscript"/>
        </w:rPr>
        <w:t>th</w:t>
      </w:r>
      <w:r>
        <w:rPr>
          <w:rStyle w:val="a0"/>
          <w:rFonts w:eastAsia="標楷體"/>
          <w:sz w:val="20"/>
        </w:rPr>
        <w:t>, 2010</w:t>
      </w:r>
    </w:p>
    <w:p w:rsidR="00A97B72" w:rsidRDefault="004C4AA6">
      <w:pPr>
        <w:pStyle w:val="Standard"/>
        <w:spacing w:line="240" w:lineRule="exact"/>
        <w:jc w:val="right"/>
      </w:pPr>
      <w:r>
        <w:rPr>
          <w:rStyle w:val="a0"/>
          <w:rFonts w:eastAsia="標楷體"/>
          <w:sz w:val="20"/>
        </w:rPr>
        <w:t>Amended by department affairs meeting on June 25</w:t>
      </w:r>
      <w:r>
        <w:rPr>
          <w:rStyle w:val="a0"/>
          <w:rFonts w:eastAsia="標楷體"/>
          <w:sz w:val="20"/>
          <w:vertAlign w:val="superscript"/>
        </w:rPr>
        <w:t>th</w:t>
      </w:r>
      <w:r>
        <w:rPr>
          <w:rStyle w:val="a0"/>
          <w:rFonts w:eastAsia="標楷體"/>
          <w:sz w:val="20"/>
        </w:rPr>
        <w:t>, 2010</w:t>
      </w:r>
    </w:p>
    <w:p w:rsidR="00A97B72" w:rsidRDefault="004C4AA6">
      <w:pPr>
        <w:pStyle w:val="Standard"/>
        <w:spacing w:line="240" w:lineRule="exact"/>
        <w:jc w:val="right"/>
      </w:pPr>
      <w:r>
        <w:rPr>
          <w:rStyle w:val="a0"/>
          <w:rFonts w:eastAsia="標楷體"/>
          <w:sz w:val="20"/>
        </w:rPr>
        <w:t>Amended by department affairs meeting on Nov. 10</w:t>
      </w:r>
      <w:r>
        <w:rPr>
          <w:rStyle w:val="a0"/>
          <w:rFonts w:eastAsia="標楷體"/>
          <w:sz w:val="20"/>
          <w:vertAlign w:val="superscript"/>
        </w:rPr>
        <w:t>th</w:t>
      </w:r>
      <w:r>
        <w:rPr>
          <w:rStyle w:val="a0"/>
          <w:rFonts w:eastAsia="標楷體"/>
          <w:sz w:val="20"/>
        </w:rPr>
        <w:t>, 2010</w:t>
      </w:r>
    </w:p>
    <w:p w:rsidR="00A97B72" w:rsidRDefault="004C4AA6">
      <w:pPr>
        <w:pStyle w:val="Standard"/>
        <w:spacing w:line="240" w:lineRule="exact"/>
        <w:jc w:val="right"/>
      </w:pPr>
      <w:r>
        <w:rPr>
          <w:rStyle w:val="a0"/>
          <w:rFonts w:eastAsia="標楷體"/>
          <w:sz w:val="20"/>
        </w:rPr>
        <w:t>Amended by department affairs meeting on Jun. 24</w:t>
      </w:r>
      <w:r>
        <w:rPr>
          <w:rStyle w:val="a0"/>
          <w:rFonts w:eastAsia="標楷體"/>
          <w:sz w:val="20"/>
          <w:vertAlign w:val="superscript"/>
        </w:rPr>
        <w:t>th</w:t>
      </w:r>
      <w:r>
        <w:rPr>
          <w:rStyle w:val="a0"/>
          <w:rFonts w:eastAsia="標楷體"/>
          <w:sz w:val="20"/>
        </w:rPr>
        <w:t>, 2011</w:t>
      </w:r>
    </w:p>
    <w:p w:rsidR="00A97B72" w:rsidRDefault="004C4AA6">
      <w:pPr>
        <w:pStyle w:val="Standard"/>
        <w:spacing w:line="240" w:lineRule="exact"/>
        <w:jc w:val="right"/>
      </w:pPr>
      <w:r>
        <w:rPr>
          <w:rStyle w:val="a0"/>
          <w:rFonts w:eastAsia="標楷體"/>
          <w:sz w:val="20"/>
        </w:rPr>
        <w:t>Amended by department affairs meeting on Apr. 16</w:t>
      </w:r>
      <w:r>
        <w:rPr>
          <w:rStyle w:val="a0"/>
          <w:rFonts w:eastAsia="標楷體"/>
          <w:sz w:val="20"/>
          <w:vertAlign w:val="superscript"/>
        </w:rPr>
        <w:t>th</w:t>
      </w:r>
      <w:r>
        <w:rPr>
          <w:rStyle w:val="a0"/>
          <w:rFonts w:eastAsia="標楷體"/>
          <w:sz w:val="20"/>
        </w:rPr>
        <w:t>, 2014</w:t>
      </w:r>
    </w:p>
    <w:p w:rsidR="00A97B72" w:rsidRDefault="004C4AA6">
      <w:pPr>
        <w:pStyle w:val="Standard"/>
        <w:spacing w:line="240" w:lineRule="exact"/>
        <w:jc w:val="right"/>
      </w:pPr>
      <w:r>
        <w:rPr>
          <w:rStyle w:val="a0"/>
          <w:rFonts w:eastAsia="標楷體"/>
          <w:sz w:val="20"/>
        </w:rPr>
        <w:t>Amended by department affairs meeting on Jan. 16</w:t>
      </w:r>
      <w:r>
        <w:rPr>
          <w:rStyle w:val="a0"/>
          <w:rFonts w:eastAsia="標楷體"/>
          <w:sz w:val="20"/>
          <w:vertAlign w:val="superscript"/>
        </w:rPr>
        <w:t>th</w:t>
      </w:r>
      <w:r>
        <w:rPr>
          <w:rStyle w:val="a0"/>
          <w:rFonts w:eastAsia="標楷體"/>
          <w:sz w:val="20"/>
        </w:rPr>
        <w:t>, 2015</w:t>
      </w:r>
    </w:p>
    <w:p w:rsidR="00A97B72" w:rsidRDefault="004C4AA6">
      <w:pPr>
        <w:pStyle w:val="Standard"/>
        <w:spacing w:line="240" w:lineRule="exact"/>
        <w:jc w:val="right"/>
      </w:pPr>
      <w:r>
        <w:rPr>
          <w:rStyle w:val="a0"/>
          <w:rFonts w:eastAsia="標楷體"/>
          <w:sz w:val="20"/>
        </w:rPr>
        <w:t>Amended by department affairs meeting on Apr. 16</w:t>
      </w:r>
      <w:r>
        <w:rPr>
          <w:rStyle w:val="a0"/>
          <w:rFonts w:eastAsia="標楷體"/>
          <w:sz w:val="20"/>
          <w:vertAlign w:val="superscript"/>
        </w:rPr>
        <w:t>th</w:t>
      </w:r>
      <w:r>
        <w:rPr>
          <w:rStyle w:val="a0"/>
          <w:rFonts w:eastAsia="標楷體"/>
          <w:sz w:val="20"/>
        </w:rPr>
        <w:t>, 2015</w:t>
      </w:r>
    </w:p>
    <w:p w:rsidR="00A97B72" w:rsidRDefault="004C4AA6">
      <w:pPr>
        <w:pStyle w:val="Standard"/>
        <w:spacing w:line="240" w:lineRule="exact"/>
        <w:jc w:val="right"/>
      </w:pPr>
      <w:r>
        <w:rPr>
          <w:rStyle w:val="a0"/>
          <w:rFonts w:eastAsia="標楷體"/>
          <w:sz w:val="20"/>
        </w:rPr>
        <w:t>Amended by department affairs meeting on Jun. 8</w:t>
      </w:r>
      <w:r>
        <w:rPr>
          <w:rStyle w:val="a0"/>
          <w:rFonts w:eastAsia="標楷體"/>
          <w:sz w:val="20"/>
          <w:vertAlign w:val="superscript"/>
        </w:rPr>
        <w:t>th</w:t>
      </w:r>
      <w:r>
        <w:rPr>
          <w:rStyle w:val="a0"/>
          <w:rFonts w:eastAsia="標楷體"/>
          <w:sz w:val="20"/>
        </w:rPr>
        <w:t>, 2016</w:t>
      </w:r>
    </w:p>
    <w:p w:rsidR="00A97B72" w:rsidRDefault="004C4AA6">
      <w:pPr>
        <w:pStyle w:val="Standard"/>
        <w:spacing w:line="240" w:lineRule="exact"/>
        <w:jc w:val="right"/>
      </w:pPr>
      <w:r>
        <w:rPr>
          <w:rStyle w:val="a0"/>
          <w:rFonts w:eastAsia="標楷體"/>
          <w:color w:val="000000"/>
          <w:sz w:val="20"/>
        </w:rPr>
        <w:t>Amended by department affairs meeting on Jan. 19</w:t>
      </w:r>
      <w:r>
        <w:rPr>
          <w:rStyle w:val="a0"/>
          <w:rFonts w:eastAsia="標楷體"/>
          <w:color w:val="000000"/>
          <w:sz w:val="20"/>
          <w:vertAlign w:val="superscript"/>
        </w:rPr>
        <w:t>th</w:t>
      </w:r>
      <w:r>
        <w:rPr>
          <w:rStyle w:val="a0"/>
          <w:rFonts w:eastAsia="標楷體"/>
          <w:color w:val="000000"/>
          <w:sz w:val="20"/>
        </w:rPr>
        <w:t>, 2018</w:t>
      </w:r>
    </w:p>
    <w:p w:rsidR="00A97B72" w:rsidRPr="002D4D18" w:rsidRDefault="004C4AA6">
      <w:pPr>
        <w:pStyle w:val="Standard"/>
        <w:spacing w:line="240" w:lineRule="exact"/>
        <w:jc w:val="right"/>
      </w:pPr>
      <w:r w:rsidRPr="002D4D18">
        <w:rPr>
          <w:rStyle w:val="a0"/>
          <w:rFonts w:eastAsia="標楷體"/>
          <w:sz w:val="20"/>
        </w:rPr>
        <w:t>Amended by department affairs meeting on Nov. 6</w:t>
      </w:r>
      <w:r w:rsidRPr="002D4D18">
        <w:rPr>
          <w:rStyle w:val="a0"/>
          <w:rFonts w:eastAsia="標楷體"/>
          <w:sz w:val="20"/>
          <w:vertAlign w:val="superscript"/>
        </w:rPr>
        <w:t>th</w:t>
      </w:r>
      <w:r w:rsidRPr="002D4D18">
        <w:rPr>
          <w:rStyle w:val="a0"/>
          <w:rFonts w:eastAsia="標楷體"/>
          <w:sz w:val="20"/>
        </w:rPr>
        <w:t>, 2019</w:t>
      </w:r>
    </w:p>
    <w:p w:rsidR="0046733B" w:rsidRPr="005570D3" w:rsidRDefault="0046733B" w:rsidP="0046733B">
      <w:pPr>
        <w:pStyle w:val="Standard"/>
        <w:spacing w:line="240" w:lineRule="exact"/>
        <w:jc w:val="right"/>
        <w:rPr>
          <w:color w:val="FF0000"/>
        </w:rPr>
      </w:pPr>
      <w:r w:rsidRPr="005570D3">
        <w:rPr>
          <w:rStyle w:val="a0"/>
          <w:rFonts w:eastAsia="標楷體"/>
          <w:color w:val="FF0000"/>
          <w:sz w:val="20"/>
        </w:rPr>
        <w:t xml:space="preserve">Amended by department affairs meeting on </w:t>
      </w:r>
      <w:r w:rsidRPr="005570D3">
        <w:rPr>
          <w:rStyle w:val="a0"/>
          <w:rFonts w:eastAsia="標楷體" w:hint="eastAsia"/>
          <w:color w:val="FF0000"/>
          <w:sz w:val="20"/>
        </w:rPr>
        <w:t>Au</w:t>
      </w:r>
      <w:r w:rsidRPr="005570D3">
        <w:rPr>
          <w:rStyle w:val="a0"/>
          <w:rFonts w:eastAsia="標楷體"/>
          <w:color w:val="FF0000"/>
          <w:sz w:val="20"/>
        </w:rPr>
        <w:t>g. 30</w:t>
      </w:r>
      <w:r w:rsidRPr="005570D3">
        <w:rPr>
          <w:rStyle w:val="a0"/>
          <w:rFonts w:eastAsia="標楷體"/>
          <w:color w:val="FF0000"/>
          <w:sz w:val="20"/>
          <w:vertAlign w:val="superscript"/>
        </w:rPr>
        <w:t>th</w:t>
      </w:r>
      <w:r w:rsidRPr="005570D3">
        <w:rPr>
          <w:rStyle w:val="a0"/>
          <w:rFonts w:eastAsia="標楷體"/>
          <w:color w:val="FF0000"/>
          <w:sz w:val="20"/>
        </w:rPr>
        <w:t>, 2022</w:t>
      </w:r>
    </w:p>
    <w:p w:rsidR="00A97B72" w:rsidRPr="0046733B" w:rsidRDefault="00A97B72">
      <w:pPr>
        <w:pStyle w:val="Standard"/>
        <w:spacing w:line="240" w:lineRule="exact"/>
        <w:jc w:val="right"/>
        <w:rPr>
          <w:color w:val="FF0000"/>
          <w:u w:val="single"/>
        </w:rPr>
      </w:pPr>
    </w:p>
    <w:p w:rsidR="00A97B72" w:rsidRDefault="004C4AA6">
      <w:pPr>
        <w:pStyle w:val="10"/>
        <w:spacing w:line="400" w:lineRule="exact"/>
        <w:ind w:left="0" w:firstLine="0"/>
        <w:rPr>
          <w:b/>
          <w:i/>
          <w:sz w:val="24"/>
          <w:szCs w:val="24"/>
        </w:rPr>
      </w:pPr>
      <w:r>
        <w:rPr>
          <w:b/>
          <w:i/>
          <w:sz w:val="24"/>
          <w:szCs w:val="24"/>
        </w:rPr>
        <w:t>Article 1</w:t>
      </w:r>
    </w:p>
    <w:p w:rsidR="00A97B72" w:rsidRDefault="004C4AA6">
      <w:pPr>
        <w:pStyle w:val="10"/>
        <w:spacing w:line="400" w:lineRule="exact"/>
        <w:ind w:left="0" w:firstLine="510"/>
        <w:jc w:val="both"/>
        <w:rPr>
          <w:sz w:val="24"/>
          <w:szCs w:val="24"/>
        </w:rPr>
      </w:pPr>
      <w:r>
        <w:rPr>
          <w:sz w:val="24"/>
          <w:szCs w:val="24"/>
        </w:rPr>
        <w:t>Doctoral students of the Department of Soil and Water Conservation (or the Department) must follow the verification guidelines when they apply for dissertation oral examination.</w:t>
      </w:r>
    </w:p>
    <w:p w:rsidR="00A97B72" w:rsidRDefault="00A97B72">
      <w:pPr>
        <w:pStyle w:val="10"/>
        <w:spacing w:line="400" w:lineRule="exact"/>
        <w:ind w:left="0" w:firstLine="510"/>
        <w:jc w:val="both"/>
        <w:rPr>
          <w:sz w:val="24"/>
          <w:szCs w:val="24"/>
        </w:rPr>
      </w:pPr>
    </w:p>
    <w:p w:rsidR="00A97B72" w:rsidRDefault="004C4AA6">
      <w:pPr>
        <w:pStyle w:val="10"/>
        <w:spacing w:line="400" w:lineRule="exact"/>
        <w:ind w:left="961" w:hanging="961"/>
        <w:rPr>
          <w:b/>
          <w:i/>
          <w:sz w:val="24"/>
          <w:szCs w:val="24"/>
        </w:rPr>
      </w:pPr>
      <w:r>
        <w:rPr>
          <w:b/>
          <w:i/>
          <w:sz w:val="24"/>
          <w:szCs w:val="24"/>
        </w:rPr>
        <w:t>Article 2</w:t>
      </w:r>
    </w:p>
    <w:p w:rsidR="00A97B72" w:rsidRDefault="004C4AA6">
      <w:pPr>
        <w:pStyle w:val="10"/>
        <w:spacing w:line="400" w:lineRule="exact"/>
        <w:ind w:left="0" w:firstLine="510"/>
        <w:jc w:val="both"/>
        <w:rPr>
          <w:sz w:val="24"/>
          <w:szCs w:val="24"/>
        </w:rPr>
      </w:pPr>
      <w:r>
        <w:rPr>
          <w:sz w:val="24"/>
          <w:szCs w:val="24"/>
        </w:rPr>
        <w:t>Doctoral students must pass the qualification examination of doctoral degree candidate before they are allowed to apply for the dissertation oral examination.</w:t>
      </w:r>
    </w:p>
    <w:p w:rsidR="00A97B72" w:rsidRDefault="00A97B72">
      <w:pPr>
        <w:pStyle w:val="10"/>
        <w:spacing w:line="400" w:lineRule="exact"/>
        <w:ind w:left="0" w:firstLine="510"/>
        <w:jc w:val="both"/>
        <w:rPr>
          <w:sz w:val="24"/>
          <w:szCs w:val="24"/>
        </w:rPr>
      </w:pPr>
    </w:p>
    <w:p w:rsidR="00A97B72" w:rsidRDefault="004C4AA6">
      <w:pPr>
        <w:pStyle w:val="10"/>
        <w:spacing w:line="400" w:lineRule="exact"/>
        <w:ind w:left="0" w:firstLine="0"/>
        <w:rPr>
          <w:b/>
          <w:i/>
          <w:sz w:val="24"/>
          <w:szCs w:val="24"/>
        </w:rPr>
      </w:pPr>
      <w:r>
        <w:rPr>
          <w:b/>
          <w:i/>
          <w:sz w:val="24"/>
          <w:szCs w:val="24"/>
        </w:rPr>
        <w:t>Article 3</w:t>
      </w:r>
    </w:p>
    <w:p w:rsidR="00A97B72" w:rsidRDefault="004C4AA6">
      <w:pPr>
        <w:pStyle w:val="10"/>
        <w:spacing w:line="400" w:lineRule="exact"/>
        <w:ind w:left="0" w:firstLine="0"/>
        <w:jc w:val="both"/>
        <w:rPr>
          <w:sz w:val="24"/>
          <w:szCs w:val="24"/>
        </w:rPr>
      </w:pPr>
      <w:r>
        <w:rPr>
          <w:sz w:val="24"/>
          <w:szCs w:val="24"/>
        </w:rPr>
        <w:tab/>
        <w:t>Doctoral students applying for the dissertation oral examination are required to comply with the following regulations:</w:t>
      </w:r>
    </w:p>
    <w:p w:rsidR="00A97B72" w:rsidRDefault="004C4AA6">
      <w:pPr>
        <w:pStyle w:val="10"/>
        <w:spacing w:line="400" w:lineRule="exact"/>
        <w:ind w:left="2070" w:hanging="1043"/>
        <w:jc w:val="both"/>
      </w:pPr>
      <w:r>
        <w:rPr>
          <w:rStyle w:val="a0"/>
          <w:b/>
          <w:i/>
          <w:sz w:val="24"/>
          <w:szCs w:val="24"/>
        </w:rPr>
        <w:t>Section 1</w:t>
      </w:r>
      <w:r>
        <w:rPr>
          <w:rStyle w:val="a0"/>
          <w:sz w:val="24"/>
          <w:szCs w:val="24"/>
        </w:rPr>
        <w:t>- Credit Requirement: in addition to complying with the regulation No. 9 of the “Implementation of the Qualification Examination of Doctoral Degree Candidate”, doctoral students must fulfill the following requirements:</w:t>
      </w:r>
    </w:p>
    <w:p w:rsidR="00A97B72" w:rsidRDefault="004C4AA6">
      <w:pPr>
        <w:pStyle w:val="10"/>
        <w:spacing w:line="400" w:lineRule="exact"/>
        <w:ind w:left="1903" w:hanging="360"/>
        <w:jc w:val="both"/>
        <w:rPr>
          <w:sz w:val="24"/>
          <w:szCs w:val="24"/>
        </w:rPr>
      </w:pPr>
      <w:r>
        <w:rPr>
          <w:sz w:val="24"/>
          <w:szCs w:val="24"/>
        </w:rPr>
        <w:t>1. Students must earn 24 credits (excluding 12 credits of the dissertation) and in which only 6 credits at most can be offered by their advisors.</w:t>
      </w:r>
    </w:p>
    <w:p w:rsidR="00A97B72" w:rsidRDefault="004C4AA6">
      <w:pPr>
        <w:pStyle w:val="10"/>
        <w:spacing w:line="400" w:lineRule="exact"/>
        <w:ind w:left="1903" w:hanging="360"/>
        <w:jc w:val="both"/>
        <w:rPr>
          <w:sz w:val="24"/>
          <w:szCs w:val="24"/>
        </w:rPr>
      </w:pPr>
      <w:r>
        <w:rPr>
          <w:sz w:val="24"/>
          <w:szCs w:val="24"/>
        </w:rPr>
        <w:lastRenderedPageBreak/>
        <w:t>2. Students are allowed to attend Seminar 3 and Seminar 4 at the same time under the permission of advisor and department head and students can obtain the credits by giving presentation twice a semester.</w:t>
      </w:r>
    </w:p>
    <w:p w:rsidR="00A97B72" w:rsidRDefault="004C4AA6">
      <w:pPr>
        <w:pStyle w:val="10"/>
        <w:spacing w:line="400" w:lineRule="exact"/>
        <w:ind w:left="1903" w:hanging="360"/>
        <w:jc w:val="both"/>
        <w:rPr>
          <w:sz w:val="24"/>
          <w:szCs w:val="24"/>
        </w:rPr>
      </w:pPr>
      <w:r>
        <w:rPr>
          <w:sz w:val="24"/>
          <w:szCs w:val="24"/>
        </w:rPr>
        <w:t>3. Seminars 1 to 4 are held at the same time and all the relevant lecturers and students must participate in the seminars.</w:t>
      </w:r>
    </w:p>
    <w:p w:rsidR="00A97B72" w:rsidRDefault="004C4AA6">
      <w:pPr>
        <w:pStyle w:val="10"/>
        <w:spacing w:line="400" w:lineRule="exact"/>
        <w:ind w:left="1903" w:hanging="360"/>
        <w:jc w:val="both"/>
        <w:rPr>
          <w:sz w:val="24"/>
          <w:szCs w:val="24"/>
        </w:rPr>
      </w:pPr>
      <w:r>
        <w:rPr>
          <w:sz w:val="24"/>
          <w:szCs w:val="24"/>
        </w:rPr>
        <w:t>4. Students must give presentation once a semester for each compulsory seminar and enroll the title of presentation on the record form (as attachment). Students need to ask for a signature on the record form from the lecturers after each seminar presentation</w:t>
      </w:r>
      <w:r w:rsidR="004D7DB7">
        <w:rPr>
          <w:sz w:val="24"/>
          <w:szCs w:val="24"/>
        </w:rPr>
        <w:t>.</w:t>
      </w:r>
      <w:r>
        <w:rPr>
          <w:sz w:val="24"/>
          <w:szCs w:val="24"/>
        </w:rPr>
        <w:t xml:space="preserve"> Those who are absent from the seminar without cause will be prohibited from graduation.</w:t>
      </w:r>
    </w:p>
    <w:p w:rsidR="00A97B72" w:rsidRDefault="004C4AA6">
      <w:pPr>
        <w:pStyle w:val="10"/>
        <w:spacing w:line="400" w:lineRule="exact"/>
        <w:ind w:left="1903" w:hanging="360"/>
        <w:jc w:val="both"/>
        <w:rPr>
          <w:sz w:val="24"/>
          <w:szCs w:val="24"/>
        </w:rPr>
      </w:pPr>
      <w:r>
        <w:rPr>
          <w:sz w:val="24"/>
          <w:szCs w:val="24"/>
        </w:rPr>
        <w:t>5. Students are requested to pass the intermediate level of General English Proficiency Test (GEPT), third level of the Japanese examination, or obtain 6 credits of foreign language classes. For those students enrolled in 2011, only credits of English-related classes can be waived. Students enrolled in or after the academic year of 2014 have to pass the high-intermediate level of the first-stage GEPT, third level of the Japanese examination, or obtain 6 credits of English classes specifically for second or higher year undergraduate students.</w:t>
      </w:r>
    </w:p>
    <w:p w:rsidR="00A97B72" w:rsidRDefault="004C4AA6">
      <w:pPr>
        <w:pStyle w:val="10"/>
        <w:spacing w:line="400" w:lineRule="exact"/>
        <w:ind w:hanging="218"/>
      </w:pPr>
      <w:r>
        <w:rPr>
          <w:rStyle w:val="a0"/>
          <w:i/>
          <w:sz w:val="24"/>
          <w:szCs w:val="24"/>
        </w:rPr>
        <w:t>Section 2</w:t>
      </w:r>
      <w:r>
        <w:rPr>
          <w:rStyle w:val="a0"/>
          <w:sz w:val="24"/>
          <w:szCs w:val="24"/>
        </w:rPr>
        <w:t>- publication regulations:</w:t>
      </w:r>
    </w:p>
    <w:p w:rsidR="00A97B72" w:rsidRDefault="004C4AA6">
      <w:pPr>
        <w:pStyle w:val="10"/>
        <w:spacing w:line="400" w:lineRule="exact"/>
        <w:ind w:left="1850" w:hanging="360"/>
        <w:jc w:val="both"/>
      </w:pPr>
      <w:r>
        <w:rPr>
          <w:rStyle w:val="a0"/>
          <w:sz w:val="24"/>
          <w:szCs w:val="24"/>
        </w:rPr>
        <w:t xml:space="preserve">1. </w:t>
      </w:r>
      <w:r>
        <w:rPr>
          <w:rStyle w:val="a0"/>
          <w:color w:val="000000"/>
          <w:sz w:val="24"/>
          <w:szCs w:val="24"/>
        </w:rPr>
        <w:t>Students are requested to publish at least one SCI or SSCI-related publication during their academic year. (Students must be the first author or corresponding author, or second author with the first author of their advisor.)</w:t>
      </w:r>
    </w:p>
    <w:p w:rsidR="00A97B72" w:rsidRDefault="004C4AA6">
      <w:pPr>
        <w:pStyle w:val="10"/>
        <w:spacing w:line="400" w:lineRule="exact"/>
        <w:ind w:left="1797" w:hanging="307"/>
        <w:jc w:val="both"/>
        <w:rPr>
          <w:sz w:val="24"/>
          <w:szCs w:val="24"/>
        </w:rPr>
      </w:pPr>
      <w:r>
        <w:rPr>
          <w:sz w:val="24"/>
          <w:szCs w:val="24"/>
        </w:rPr>
        <w:t>2. Students are allowed to apply for the dissertation oral examination only on the condition of accumulating at least 7 publication credits based on the following regulations:</w:t>
      </w:r>
    </w:p>
    <w:p w:rsidR="00A97B72" w:rsidRDefault="004C4AA6">
      <w:pPr>
        <w:pStyle w:val="10"/>
        <w:spacing w:line="400" w:lineRule="exact"/>
        <w:ind w:left="2400" w:hanging="480"/>
        <w:jc w:val="both"/>
        <w:rPr>
          <w:sz w:val="24"/>
          <w:szCs w:val="24"/>
        </w:rPr>
      </w:pPr>
      <w:r>
        <w:rPr>
          <w:sz w:val="24"/>
          <w:szCs w:val="24"/>
        </w:rPr>
        <w:t>(1) 0.5 credits per domestic conference paper published in proceedings.</w:t>
      </w:r>
    </w:p>
    <w:p w:rsidR="00A97B72" w:rsidRDefault="004C4AA6">
      <w:pPr>
        <w:pStyle w:val="10"/>
        <w:spacing w:line="400" w:lineRule="exact"/>
        <w:ind w:left="2400" w:hanging="480"/>
        <w:jc w:val="both"/>
        <w:rPr>
          <w:sz w:val="24"/>
          <w:szCs w:val="24"/>
        </w:rPr>
      </w:pPr>
      <w:r>
        <w:rPr>
          <w:sz w:val="24"/>
          <w:szCs w:val="24"/>
        </w:rPr>
        <w:t>(2) Participating in international conferences with publication written in foreign language (0.5 credits for poster and 1.0 credit for oral presentation).</w:t>
      </w:r>
    </w:p>
    <w:p w:rsidR="00A97B72" w:rsidRDefault="004C4AA6">
      <w:pPr>
        <w:pStyle w:val="10"/>
        <w:spacing w:line="400" w:lineRule="exact"/>
        <w:ind w:left="2400" w:hanging="600"/>
        <w:jc w:val="both"/>
        <w:rPr>
          <w:sz w:val="24"/>
          <w:szCs w:val="24"/>
        </w:rPr>
      </w:pPr>
      <w:r>
        <w:rPr>
          <w:sz w:val="24"/>
          <w:szCs w:val="24"/>
        </w:rPr>
        <w:lastRenderedPageBreak/>
        <w:t xml:space="preserve"> (3) 1.0 credit per domestic academic or journal paper with review committee.</w:t>
      </w:r>
    </w:p>
    <w:p w:rsidR="00A97B72" w:rsidRDefault="004C4AA6">
      <w:pPr>
        <w:pStyle w:val="10"/>
        <w:spacing w:line="400" w:lineRule="exact"/>
        <w:ind w:left="2400" w:hanging="600"/>
        <w:jc w:val="both"/>
      </w:pPr>
      <w:r>
        <w:rPr>
          <w:rStyle w:val="a0"/>
          <w:rFonts w:ascii="標楷體" w:hAnsi="標楷體"/>
          <w:sz w:val="24"/>
          <w:szCs w:val="24"/>
        </w:rPr>
        <w:t xml:space="preserve"> </w:t>
      </w:r>
      <w:r>
        <w:rPr>
          <w:rStyle w:val="a0"/>
          <w:sz w:val="24"/>
          <w:szCs w:val="24"/>
        </w:rPr>
        <w:t>(4) For the publication type of Translation, comment discussion, research reports, investigation reports and non-journal project reports are not counted as credits.</w:t>
      </w:r>
    </w:p>
    <w:p w:rsidR="00A97B72" w:rsidRDefault="004C4AA6">
      <w:pPr>
        <w:pStyle w:val="10"/>
        <w:spacing w:line="400" w:lineRule="exact"/>
        <w:ind w:left="2400" w:hanging="480"/>
        <w:jc w:val="both"/>
      </w:pPr>
      <w:r>
        <w:rPr>
          <w:rStyle w:val="a0"/>
          <w:sz w:val="24"/>
          <w:szCs w:val="24"/>
        </w:rPr>
        <w:t>(5) 4 credits per acade</w:t>
      </w:r>
      <w:r>
        <w:rPr>
          <w:rStyle w:val="a0"/>
          <w:color w:val="000000"/>
          <w:sz w:val="24"/>
          <w:szCs w:val="24"/>
        </w:rPr>
        <w:t>mic or journal paper of EI or SCI or SSCI. (Student entrance in 2008, publications of EI are counted as 3.0 credits).</w:t>
      </w:r>
    </w:p>
    <w:p w:rsidR="00A97B72" w:rsidRDefault="004C4AA6">
      <w:pPr>
        <w:pStyle w:val="10"/>
        <w:spacing w:line="400" w:lineRule="exact"/>
        <w:ind w:left="2400" w:hanging="480"/>
        <w:jc w:val="both"/>
      </w:pPr>
      <w:r>
        <w:rPr>
          <w:rStyle w:val="a0"/>
          <w:color w:val="000000"/>
          <w:sz w:val="24"/>
          <w:szCs w:val="24"/>
        </w:rPr>
        <w:t>(6) Excluding the first author and corresponding author and second author (on the condition that the first author is advisor), the publication credits are divided by the number of</w:t>
      </w:r>
      <w:r>
        <w:rPr>
          <w:rStyle w:val="a0"/>
          <w:sz w:val="24"/>
          <w:szCs w:val="24"/>
        </w:rPr>
        <w:t xml:space="preserve"> </w:t>
      </w:r>
      <w:proofErr w:type="gramStart"/>
      <w:r>
        <w:rPr>
          <w:rStyle w:val="a0"/>
          <w:sz w:val="24"/>
          <w:szCs w:val="24"/>
        </w:rPr>
        <w:t>author</w:t>
      </w:r>
      <w:proofErr w:type="gramEnd"/>
      <w:r>
        <w:rPr>
          <w:rStyle w:val="a0"/>
          <w:sz w:val="24"/>
          <w:szCs w:val="24"/>
        </w:rPr>
        <w:t>.</w:t>
      </w:r>
    </w:p>
    <w:p w:rsidR="00A97B72" w:rsidRDefault="004C4AA6">
      <w:pPr>
        <w:pStyle w:val="10"/>
        <w:spacing w:line="400" w:lineRule="exact"/>
        <w:ind w:left="2400" w:hanging="480"/>
        <w:jc w:val="both"/>
        <w:rPr>
          <w:sz w:val="24"/>
          <w:szCs w:val="24"/>
        </w:rPr>
      </w:pPr>
      <w:r>
        <w:rPr>
          <w:sz w:val="24"/>
          <w:szCs w:val="24"/>
        </w:rPr>
        <w:t>(7) Publication credits are doubled or quadrupled if the publication is awarded by national or international academic institution.</w:t>
      </w:r>
    </w:p>
    <w:p w:rsidR="00A97B72" w:rsidRDefault="004C4AA6">
      <w:pPr>
        <w:pStyle w:val="10"/>
        <w:spacing w:line="400" w:lineRule="exact"/>
        <w:ind w:left="2400" w:hanging="480"/>
        <w:jc w:val="both"/>
        <w:rPr>
          <w:sz w:val="24"/>
          <w:szCs w:val="24"/>
        </w:rPr>
      </w:pPr>
      <w:r>
        <w:rPr>
          <w:sz w:val="24"/>
          <w:szCs w:val="24"/>
        </w:rPr>
        <w:t>(8) 0.5 credit for every Taiwanese patent, 1 credit for every international patent.</w:t>
      </w:r>
    </w:p>
    <w:p w:rsidR="00A97B72" w:rsidRPr="00B93276" w:rsidRDefault="004C4AA6" w:rsidP="00F437BD">
      <w:pPr>
        <w:pStyle w:val="10"/>
        <w:spacing w:line="400" w:lineRule="exact"/>
        <w:jc w:val="both"/>
        <w:rPr>
          <w:sz w:val="24"/>
          <w:szCs w:val="24"/>
        </w:rPr>
      </w:pPr>
      <w:r>
        <w:rPr>
          <w:sz w:val="24"/>
          <w:szCs w:val="24"/>
        </w:rPr>
        <w:t xml:space="preserve">(9) 1.5 credits for every at-least-one-year oversea academic exchange program funded by </w:t>
      </w:r>
      <w:r w:rsidRPr="00D26CD2">
        <w:rPr>
          <w:sz w:val="24"/>
          <w:szCs w:val="24"/>
        </w:rPr>
        <w:t>Ministry of Education or</w:t>
      </w:r>
      <w:r w:rsidR="00B93276" w:rsidRPr="005570D3">
        <w:rPr>
          <w:color w:val="FF0000"/>
          <w:sz w:val="24"/>
          <w:szCs w:val="24"/>
        </w:rPr>
        <w:t xml:space="preserve"> National Science and Technology Council</w:t>
      </w:r>
      <w:r>
        <w:rPr>
          <w:sz w:val="24"/>
          <w:szCs w:val="24"/>
        </w:rPr>
        <w:t>.</w:t>
      </w:r>
      <w:bookmarkStart w:id="0" w:name="_GoBack"/>
      <w:bookmarkEnd w:id="0"/>
    </w:p>
    <w:p w:rsidR="00A97B72" w:rsidRDefault="004C4AA6">
      <w:pPr>
        <w:pStyle w:val="10"/>
        <w:spacing w:line="400" w:lineRule="exact"/>
        <w:ind w:left="1797" w:hanging="307"/>
      </w:pPr>
      <w:r>
        <w:rPr>
          <w:rStyle w:val="a0"/>
          <w:sz w:val="24"/>
          <w:szCs w:val="24"/>
        </w:rPr>
        <w:t>3. Students are requested to publish at least one paper on the Journal of Soil and Water Conservation or substituted by a SC</w:t>
      </w:r>
      <w:r>
        <w:rPr>
          <w:rStyle w:val="a0"/>
          <w:color w:val="000000"/>
          <w:sz w:val="24"/>
          <w:szCs w:val="24"/>
        </w:rPr>
        <w:t>I or SSCI-</w:t>
      </w:r>
      <w:r>
        <w:rPr>
          <w:rStyle w:val="a0"/>
          <w:sz w:val="24"/>
          <w:szCs w:val="24"/>
        </w:rPr>
        <w:t>level journal paper.</w:t>
      </w:r>
    </w:p>
    <w:p w:rsidR="00A97B72" w:rsidRDefault="004C4AA6">
      <w:pPr>
        <w:pStyle w:val="10"/>
        <w:spacing w:line="400" w:lineRule="exact"/>
        <w:ind w:left="956" w:hanging="961"/>
        <w:rPr>
          <w:b/>
          <w:i/>
          <w:sz w:val="24"/>
          <w:szCs w:val="24"/>
        </w:rPr>
      </w:pPr>
      <w:r>
        <w:rPr>
          <w:b/>
          <w:i/>
          <w:sz w:val="24"/>
          <w:szCs w:val="24"/>
        </w:rPr>
        <w:t>Article 4</w:t>
      </w:r>
    </w:p>
    <w:p w:rsidR="00A97B72" w:rsidRDefault="004C4AA6">
      <w:pPr>
        <w:pStyle w:val="10"/>
        <w:spacing w:line="400" w:lineRule="exact"/>
        <w:ind w:left="0" w:firstLine="510"/>
        <w:jc w:val="both"/>
      </w:pPr>
      <w:r>
        <w:rPr>
          <w:rStyle w:val="a0"/>
          <w:sz w:val="24"/>
          <w:szCs w:val="24"/>
        </w:rPr>
        <w:t>Prior to applying for the dissertation oral examination, students must obtain the approval from their advisor on their dissertation manuscript and complete the qualification examination of doctoral degree candidate and two open presentations (one presentation must be given in the seminar class and another in any date determined by student). In addition, students have to fill out the “verification form of doctoral degree graduate qualification, Department of Soil and Water Conservation, NCHU” and submit the form to the “Verification Committee of Graduate Qualification”. After passing the verification and approved by the department head, then students can apply for the dissertation oral examination.</w:t>
      </w:r>
    </w:p>
    <w:p w:rsidR="00A97B72" w:rsidRDefault="00A97B72">
      <w:pPr>
        <w:pStyle w:val="10"/>
        <w:spacing w:line="400" w:lineRule="exact"/>
        <w:ind w:left="0" w:firstLine="510"/>
        <w:rPr>
          <w:sz w:val="24"/>
          <w:szCs w:val="24"/>
        </w:rPr>
      </w:pPr>
    </w:p>
    <w:p w:rsidR="00A97B72" w:rsidRPr="002D4D18" w:rsidRDefault="004C4AA6">
      <w:pPr>
        <w:pStyle w:val="10"/>
        <w:spacing w:line="400" w:lineRule="exact"/>
        <w:ind w:left="925" w:hanging="930"/>
        <w:rPr>
          <w:b/>
          <w:i/>
          <w:sz w:val="24"/>
          <w:szCs w:val="24"/>
        </w:rPr>
      </w:pPr>
      <w:r w:rsidRPr="002D4D18">
        <w:rPr>
          <w:b/>
          <w:i/>
          <w:sz w:val="24"/>
          <w:szCs w:val="24"/>
        </w:rPr>
        <w:t>Article 5</w:t>
      </w:r>
    </w:p>
    <w:p w:rsidR="00A97B72" w:rsidRPr="002D4D18" w:rsidRDefault="004C4AA6">
      <w:pPr>
        <w:pStyle w:val="10"/>
        <w:spacing w:line="400" w:lineRule="exact"/>
        <w:ind w:left="0" w:firstLine="510"/>
        <w:jc w:val="both"/>
        <w:rPr>
          <w:sz w:val="24"/>
          <w:szCs w:val="24"/>
        </w:rPr>
      </w:pPr>
      <w:r w:rsidRPr="002D4D18">
        <w:rPr>
          <w:sz w:val="24"/>
          <w:szCs w:val="24"/>
        </w:rPr>
        <w:lastRenderedPageBreak/>
        <w:t xml:space="preserve">  Members of the Examination Committee are recommended by the thesis advisor. The Examination Committee consists of 5 to 9 members; at least one third of the members shall be from universities other than NCHU. Graduate student’s spouse or relatives within the third-degree of kinship (including relatives by blood and affinity) are prohibited from acting as the graduate student's thesis advisor or thesis examination committee member.</w:t>
      </w:r>
    </w:p>
    <w:p w:rsidR="00A97B72" w:rsidRPr="002D4D18" w:rsidRDefault="004C4AA6">
      <w:pPr>
        <w:pStyle w:val="10"/>
        <w:spacing w:line="400" w:lineRule="exact"/>
        <w:ind w:left="0" w:firstLine="510"/>
        <w:jc w:val="both"/>
        <w:rPr>
          <w:sz w:val="24"/>
          <w:szCs w:val="24"/>
        </w:rPr>
      </w:pPr>
      <w:r w:rsidRPr="002D4D18">
        <w:rPr>
          <w:sz w:val="24"/>
          <w:szCs w:val="24"/>
        </w:rPr>
        <w:t>A student's thesis advisor is included in the Examination Committee, but is not allowed to be the committee convener. Members of the Examination Committee are approved by the meeting of the “Verification Committee of Graduate Qualification” and the chair of the department, and reported to the NCHU president by the chair of the department. Members of the Examination Committee must specialize in the realm which the doctoral candidate is studying, and must fulfill one of the requirements below:</w:t>
      </w:r>
    </w:p>
    <w:p w:rsidR="00A97B72" w:rsidRPr="002D4D18" w:rsidRDefault="004C4AA6">
      <w:pPr>
        <w:pStyle w:val="10"/>
        <w:numPr>
          <w:ilvl w:val="0"/>
          <w:numId w:val="9"/>
        </w:numPr>
        <w:spacing w:line="400" w:lineRule="exact"/>
        <w:jc w:val="both"/>
        <w:rPr>
          <w:sz w:val="24"/>
          <w:szCs w:val="24"/>
        </w:rPr>
      </w:pPr>
      <w:r w:rsidRPr="002D4D18">
        <w:rPr>
          <w:sz w:val="24"/>
          <w:szCs w:val="24"/>
        </w:rPr>
        <w:t>Being or was a professor or an associate professor.</w:t>
      </w:r>
    </w:p>
    <w:p w:rsidR="00A97B72" w:rsidRPr="002D4D18" w:rsidRDefault="004C4AA6">
      <w:pPr>
        <w:pStyle w:val="10"/>
        <w:numPr>
          <w:ilvl w:val="0"/>
          <w:numId w:val="9"/>
        </w:numPr>
        <w:spacing w:line="400" w:lineRule="exact"/>
        <w:jc w:val="both"/>
        <w:rPr>
          <w:sz w:val="24"/>
          <w:szCs w:val="24"/>
        </w:rPr>
      </w:pPr>
      <w:r w:rsidRPr="002D4D18">
        <w:rPr>
          <w:sz w:val="24"/>
          <w:szCs w:val="24"/>
        </w:rPr>
        <w:t xml:space="preserve">An academician, or researcher who is or was a research fellow or associate research fellow in Academia </w:t>
      </w:r>
      <w:proofErr w:type="spellStart"/>
      <w:r w:rsidRPr="002D4D18">
        <w:rPr>
          <w:sz w:val="24"/>
          <w:szCs w:val="24"/>
        </w:rPr>
        <w:t>Sinica</w:t>
      </w:r>
      <w:proofErr w:type="spellEnd"/>
      <w:r w:rsidRPr="002D4D18">
        <w:rPr>
          <w:sz w:val="24"/>
          <w:szCs w:val="24"/>
        </w:rPr>
        <w:t>.</w:t>
      </w:r>
    </w:p>
    <w:p w:rsidR="00A97B72" w:rsidRPr="002D4D18" w:rsidRDefault="004C4AA6">
      <w:pPr>
        <w:pStyle w:val="10"/>
        <w:numPr>
          <w:ilvl w:val="0"/>
          <w:numId w:val="9"/>
        </w:numPr>
        <w:spacing w:line="400" w:lineRule="exact"/>
        <w:jc w:val="both"/>
        <w:rPr>
          <w:sz w:val="24"/>
          <w:szCs w:val="24"/>
        </w:rPr>
      </w:pPr>
      <w:r w:rsidRPr="002D4D18">
        <w:rPr>
          <w:sz w:val="24"/>
          <w:szCs w:val="24"/>
        </w:rPr>
        <w:t>Have obtained a doctoral degree and had outstanding academic performance.</w:t>
      </w:r>
    </w:p>
    <w:p w:rsidR="00A97B72" w:rsidRPr="002D4D18" w:rsidRDefault="004C4AA6">
      <w:pPr>
        <w:pStyle w:val="10"/>
        <w:spacing w:line="400" w:lineRule="exact"/>
        <w:ind w:left="0" w:firstLine="510"/>
        <w:jc w:val="both"/>
      </w:pPr>
      <w:r w:rsidRPr="002D4D18">
        <w:rPr>
          <w:rStyle w:val="a0"/>
          <w:sz w:val="24"/>
          <w:szCs w:val="24"/>
        </w:rPr>
        <w:t>Details regarding qualifications specified in 3, must have served in the relevant units, with publication in the last-three-year, a list of their publication and a full article of their publication must be provided for examination. Full-time professors, associate professors and assistant professors of the Department of Soil and Water Conservation all can serve as advisors and committee members for students enrolled in this department.</w:t>
      </w:r>
    </w:p>
    <w:p w:rsidR="00A97B72" w:rsidRDefault="00A97B72">
      <w:pPr>
        <w:pStyle w:val="10"/>
        <w:spacing w:line="400" w:lineRule="exact"/>
        <w:ind w:left="0" w:firstLine="510"/>
        <w:jc w:val="both"/>
        <w:rPr>
          <w:sz w:val="24"/>
          <w:szCs w:val="24"/>
        </w:rPr>
      </w:pPr>
    </w:p>
    <w:p w:rsidR="00A97B72" w:rsidRDefault="004C4AA6">
      <w:pPr>
        <w:pStyle w:val="10"/>
        <w:spacing w:line="360" w:lineRule="auto"/>
        <w:ind w:left="0" w:firstLine="0"/>
        <w:rPr>
          <w:b/>
          <w:i/>
          <w:sz w:val="24"/>
          <w:szCs w:val="24"/>
        </w:rPr>
      </w:pPr>
      <w:r>
        <w:rPr>
          <w:b/>
          <w:i/>
          <w:sz w:val="24"/>
          <w:szCs w:val="24"/>
        </w:rPr>
        <w:t>Article 6</w:t>
      </w:r>
    </w:p>
    <w:p w:rsidR="00A97B72" w:rsidRDefault="004C4AA6">
      <w:pPr>
        <w:pStyle w:val="10"/>
        <w:spacing w:line="400" w:lineRule="exact"/>
        <w:ind w:left="480" w:firstLine="510"/>
        <w:jc w:val="both"/>
      </w:pPr>
      <w:r>
        <w:rPr>
          <w:rStyle w:val="a0"/>
          <w:sz w:val="24"/>
          <w:szCs w:val="24"/>
        </w:rPr>
        <w:t>These guidelines are enacted after the approval of the Department Affairs Meeting.</w:t>
      </w:r>
    </w:p>
    <w:sectPr w:rsidR="00A97B72">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3034" w:rsidRDefault="003B3034">
      <w:r>
        <w:separator/>
      </w:r>
    </w:p>
  </w:endnote>
  <w:endnote w:type="continuationSeparator" w:id="0">
    <w:p w:rsidR="003B3034" w:rsidRDefault="003B3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Liberation Sans">
    <w:charset w:val="00"/>
    <w:family w:val="swiss"/>
    <w:pitch w:val="variable"/>
  </w:font>
  <w:font w:name="微軟正黑體">
    <w:panose1 w:val="020B0604030504040204"/>
    <w:charset w:val="88"/>
    <w:family w:val="swiss"/>
    <w:pitch w:val="variable"/>
    <w:sig w:usb0="000002A7" w:usb1="28CF4400" w:usb2="00000016" w:usb3="00000000" w:csb0="00100009"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3034" w:rsidRDefault="003B3034">
      <w:r>
        <w:rPr>
          <w:color w:val="000000"/>
        </w:rPr>
        <w:separator/>
      </w:r>
    </w:p>
  </w:footnote>
  <w:footnote w:type="continuationSeparator" w:id="0">
    <w:p w:rsidR="003B3034" w:rsidRDefault="003B3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343F2"/>
    <w:multiLevelType w:val="multilevel"/>
    <w:tmpl w:val="D91242C8"/>
    <w:styleLink w:val="WWNum1"/>
    <w:lvl w:ilvl="0">
      <w:numFmt w:val="bullet"/>
      <w:lvlText w:val="◎"/>
      <w:lvlJc w:val="left"/>
      <w:pPr>
        <w:ind w:left="360" w:hanging="360"/>
      </w:pPr>
      <w:rPr>
        <w:rFonts w:ascii="Times New Roman" w:eastAsia="標楷體" w:hAnsi="Times New Roman" w:cs="Arial"/>
      </w:rPr>
    </w:lvl>
    <w:lvl w:ilvl="1">
      <w:numFmt w:val="bullet"/>
      <w:lvlText w:val=""/>
      <w:lvlJc w:val="left"/>
      <w:pPr>
        <w:ind w:left="960" w:hanging="480"/>
      </w:pPr>
    </w:lvl>
    <w:lvl w:ilvl="2">
      <w:numFmt w:val="bullet"/>
      <w:lvlText w:val=""/>
      <w:lvlJc w:val="left"/>
      <w:pPr>
        <w:ind w:left="1440" w:hanging="480"/>
      </w:pPr>
    </w:lvl>
    <w:lvl w:ilvl="3">
      <w:numFmt w:val="bullet"/>
      <w:lvlText w:val=""/>
      <w:lvlJc w:val="left"/>
      <w:pPr>
        <w:ind w:left="1920" w:hanging="480"/>
      </w:pPr>
    </w:lvl>
    <w:lvl w:ilvl="4">
      <w:numFmt w:val="bullet"/>
      <w:lvlText w:val=""/>
      <w:lvlJc w:val="left"/>
      <w:pPr>
        <w:ind w:left="2400" w:hanging="480"/>
      </w:pPr>
    </w:lvl>
    <w:lvl w:ilvl="5">
      <w:numFmt w:val="bullet"/>
      <w:lvlText w:val=""/>
      <w:lvlJc w:val="left"/>
      <w:pPr>
        <w:ind w:left="2880" w:hanging="480"/>
      </w:pPr>
    </w:lvl>
    <w:lvl w:ilvl="6">
      <w:numFmt w:val="bullet"/>
      <w:lvlText w:val=""/>
      <w:lvlJc w:val="left"/>
      <w:pPr>
        <w:ind w:left="3360" w:hanging="480"/>
      </w:pPr>
    </w:lvl>
    <w:lvl w:ilvl="7">
      <w:numFmt w:val="bullet"/>
      <w:lvlText w:val=""/>
      <w:lvlJc w:val="left"/>
      <w:pPr>
        <w:ind w:left="3840" w:hanging="480"/>
      </w:pPr>
    </w:lvl>
    <w:lvl w:ilvl="8">
      <w:numFmt w:val="bullet"/>
      <w:lvlText w:val=""/>
      <w:lvlJc w:val="left"/>
      <w:pPr>
        <w:ind w:left="4320" w:hanging="480"/>
      </w:pPr>
    </w:lvl>
  </w:abstractNum>
  <w:abstractNum w:abstractNumId="1" w15:restartNumberingAfterBreak="0">
    <w:nsid w:val="17107F83"/>
    <w:multiLevelType w:val="multilevel"/>
    <w:tmpl w:val="3A288CDC"/>
    <w:styleLink w:val="WWNum7"/>
    <w:lvl w:ilvl="0">
      <w:start w:val="1"/>
      <w:numFmt w:val="decimal"/>
      <w:lvlText w:val="(%1)"/>
      <w:lvlJc w:val="left"/>
      <w:pPr>
        <w:ind w:left="1680" w:hanging="720"/>
      </w:p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2" w15:restartNumberingAfterBreak="0">
    <w:nsid w:val="215A2C6C"/>
    <w:multiLevelType w:val="multilevel"/>
    <w:tmpl w:val="DA98B3A6"/>
    <w:styleLink w:val="WWNum2"/>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23D903B4"/>
    <w:multiLevelType w:val="multilevel"/>
    <w:tmpl w:val="7DC6B7C8"/>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 w15:restartNumberingAfterBreak="0">
    <w:nsid w:val="2886458A"/>
    <w:multiLevelType w:val="multilevel"/>
    <w:tmpl w:val="0F4880A0"/>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3F914C25"/>
    <w:multiLevelType w:val="multilevel"/>
    <w:tmpl w:val="F788D7DA"/>
    <w:styleLink w:val="WWNum5"/>
    <w:lvl w:ilvl="0">
      <w:start w:val="1"/>
      <w:numFmt w:val="japaneseCounting"/>
      <w:lvlText w:val="%1、"/>
      <w:lvlJc w:val="left"/>
      <w:pPr>
        <w:ind w:left="720" w:hanging="72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43486AC1"/>
    <w:multiLevelType w:val="multilevel"/>
    <w:tmpl w:val="8EBA1D26"/>
    <w:styleLink w:val="WWNum3"/>
    <w:lvl w:ilvl="0">
      <w:start w:val="1"/>
      <w:numFmt w:val="japaneseCounting"/>
      <w:lvlText w:val="%1、"/>
      <w:lvlJc w:val="left"/>
      <w:pPr>
        <w:ind w:left="480" w:hanging="4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43F41824"/>
    <w:multiLevelType w:val="multilevel"/>
    <w:tmpl w:val="9F308036"/>
    <w:styleLink w:val="WWNum6"/>
    <w:lvl w:ilvl="0">
      <w:start w:val="1"/>
      <w:numFmt w:val="decimal"/>
      <w:lvlText w:val="%1."/>
      <w:lvlJc w:val="left"/>
      <w:pPr>
        <w:ind w:left="960" w:hanging="480"/>
      </w:p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8" w15:restartNumberingAfterBreak="0">
    <w:nsid w:val="56A00E91"/>
    <w:multiLevelType w:val="multilevel"/>
    <w:tmpl w:val="18E42ACE"/>
    <w:styleLink w:val="WWNum4"/>
    <w:lvl w:ilvl="0">
      <w:numFmt w:val="bullet"/>
      <w:lvlText w:val="□"/>
      <w:lvlJc w:val="left"/>
      <w:pPr>
        <w:ind w:left="240" w:hanging="240"/>
      </w:pPr>
      <w:rPr>
        <w:rFonts w:ascii="Times New Roman" w:eastAsia="標楷體" w:hAnsi="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3"/>
  </w:num>
  <w:num w:numId="2">
    <w:abstractNumId w:val="0"/>
  </w:num>
  <w:num w:numId="3">
    <w:abstractNumId w:val="2"/>
  </w:num>
  <w:num w:numId="4">
    <w:abstractNumId w:val="6"/>
  </w:num>
  <w:num w:numId="5">
    <w:abstractNumId w:val="8"/>
  </w:num>
  <w:num w:numId="6">
    <w:abstractNumId w:val="5"/>
  </w:num>
  <w:num w:numId="7">
    <w:abstractNumId w:val="7"/>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bordersDoNotSurroundHeader/>
  <w:bordersDoNotSurroundFooter/>
  <w:proofState w:spelling="clean" w:grammar="clean"/>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B72"/>
    <w:rsid w:val="000F249A"/>
    <w:rsid w:val="00114BF9"/>
    <w:rsid w:val="002D4D18"/>
    <w:rsid w:val="0035459B"/>
    <w:rsid w:val="003B3034"/>
    <w:rsid w:val="0046733B"/>
    <w:rsid w:val="004C4AA6"/>
    <w:rsid w:val="004D7DB7"/>
    <w:rsid w:val="005570D3"/>
    <w:rsid w:val="00563B05"/>
    <w:rsid w:val="00A97B72"/>
    <w:rsid w:val="00AD5F16"/>
    <w:rsid w:val="00B93276"/>
    <w:rsid w:val="00C43D9C"/>
    <w:rsid w:val="00D26CD2"/>
    <w:rsid w:val="00F437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99A86C-504D-40F7-9632-9A664850D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新細明體" w:hAnsi="Calibri" w:cs="Times New Roman"/>
        <w:kern w:val="3"/>
        <w:sz w:val="24"/>
        <w:lang w:val="en-US" w:eastAsia="zh-TW" w:bidi="ar-SA"/>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標題 1"/>
    <w:basedOn w:val="Standard"/>
    <w:pPr>
      <w:keepNext/>
      <w:spacing w:before="180" w:after="180" w:line="720" w:lineRule="atLeast"/>
      <w:outlineLvl w:val="0"/>
    </w:pPr>
    <w:rPr>
      <w:rFonts w:ascii="Arial" w:eastAsia="Arial" w:hAnsi="Arial" w:cs="Arial"/>
      <w:b/>
      <w:bCs/>
      <w:sz w:val="52"/>
      <w:szCs w:val="52"/>
    </w:rPr>
  </w:style>
  <w:style w:type="paragraph" w:customStyle="1" w:styleId="a">
    <w:name w:val="內文"/>
    <w:pPr>
      <w:suppressAutoHyphens/>
    </w:pPr>
  </w:style>
  <w:style w:type="character" w:customStyle="1" w:styleId="a0">
    <w:name w:val="預設段落字型"/>
  </w:style>
  <w:style w:type="paragraph" w:customStyle="1" w:styleId="Standard">
    <w:name w:val="Standard"/>
    <w:pPr>
      <w:suppressAutoHyphens/>
    </w:pPr>
    <w:rPr>
      <w:szCs w:val="22"/>
    </w:rPr>
  </w:style>
  <w:style w:type="paragraph" w:customStyle="1" w:styleId="Heading">
    <w:name w:val="Heading"/>
    <w:basedOn w:val="Standard"/>
    <w:next w:val="Textbody"/>
    <w:pPr>
      <w:keepNext/>
      <w:spacing w:before="240" w:after="120"/>
    </w:pPr>
    <w:rPr>
      <w:rFonts w:ascii="Liberation Sans" w:eastAsia="微軟正黑體" w:hAnsi="Liberation Sans" w:cs="Mangal"/>
      <w:sz w:val="28"/>
      <w:szCs w:val="28"/>
    </w:rPr>
  </w:style>
  <w:style w:type="paragraph" w:customStyle="1" w:styleId="Textbody">
    <w:name w:val="Text body"/>
    <w:basedOn w:val="Standard"/>
    <w:rPr>
      <w:rFonts w:ascii="Times New Roman" w:eastAsia="標楷體" w:hAnsi="Times New Roman"/>
      <w:sz w:val="16"/>
      <w:szCs w:val="20"/>
    </w:rPr>
  </w:style>
  <w:style w:type="paragraph" w:customStyle="1" w:styleId="a1">
    <w:name w:val="清單"/>
    <w:basedOn w:val="Textbody"/>
    <w:rPr>
      <w:rFonts w:cs="Mangal"/>
    </w:rPr>
  </w:style>
  <w:style w:type="paragraph" w:customStyle="1" w:styleId="a2">
    <w:name w:val="標號"/>
    <w:basedOn w:val="Standard"/>
    <w:pPr>
      <w:suppressLineNumbers/>
      <w:spacing w:before="120" w:after="120"/>
    </w:pPr>
    <w:rPr>
      <w:rFonts w:cs="Mangal"/>
      <w:i/>
      <w:iCs/>
      <w:szCs w:val="24"/>
    </w:rPr>
  </w:style>
  <w:style w:type="paragraph" w:customStyle="1" w:styleId="Index">
    <w:name w:val="Index"/>
    <w:basedOn w:val="Standard"/>
    <w:pPr>
      <w:suppressLineNumbers/>
    </w:pPr>
    <w:rPr>
      <w:rFonts w:cs="Mangal"/>
    </w:rPr>
  </w:style>
  <w:style w:type="paragraph" w:customStyle="1" w:styleId="a3">
    <w:name w:val="註解方塊文字"/>
    <w:basedOn w:val="Standard"/>
    <w:rPr>
      <w:rFonts w:ascii="Cambria" w:eastAsia="Cambria" w:hAnsi="Cambria" w:cs="Cambria"/>
      <w:kern w:val="0"/>
      <w:sz w:val="18"/>
      <w:szCs w:val="18"/>
    </w:rPr>
  </w:style>
  <w:style w:type="paragraph" w:customStyle="1" w:styleId="a4">
    <w:name w:val="頁尾"/>
    <w:basedOn w:val="Standard"/>
    <w:pPr>
      <w:tabs>
        <w:tab w:val="center" w:pos="4153"/>
        <w:tab w:val="right" w:pos="8306"/>
      </w:tabs>
      <w:snapToGrid w:val="0"/>
      <w:spacing w:line="360" w:lineRule="atLeast"/>
    </w:pPr>
    <w:rPr>
      <w:rFonts w:ascii="Times New Roman" w:eastAsia="細明體" w:hAnsi="Times New Roman"/>
      <w:kern w:val="0"/>
      <w:sz w:val="20"/>
      <w:szCs w:val="20"/>
    </w:rPr>
  </w:style>
  <w:style w:type="paragraph" w:customStyle="1" w:styleId="10">
    <w:name w:val="1"/>
    <w:pPr>
      <w:widowControl/>
      <w:suppressAutoHyphens/>
      <w:ind w:left="1418" w:hanging="567"/>
    </w:pPr>
    <w:rPr>
      <w:rFonts w:ascii="Times New Roman" w:eastAsia="標楷體" w:hAnsi="Times New Roman"/>
      <w:sz w:val="28"/>
    </w:rPr>
  </w:style>
  <w:style w:type="paragraph" w:customStyle="1" w:styleId="Textbodyindent">
    <w:name w:val="Text body indent"/>
    <w:basedOn w:val="Standard"/>
    <w:pPr>
      <w:spacing w:after="120"/>
      <w:ind w:left="480"/>
    </w:pPr>
  </w:style>
  <w:style w:type="paragraph" w:customStyle="1" w:styleId="a5">
    <w:name w:val="區塊文字"/>
    <w:basedOn w:val="Standard"/>
    <w:pPr>
      <w:spacing w:line="400" w:lineRule="exact"/>
      <w:ind w:left="538" w:right="-185" w:hanging="538"/>
    </w:pPr>
    <w:rPr>
      <w:rFonts w:ascii="標楷體" w:eastAsia="標楷體" w:hAnsi="標楷體" w:cs="標楷體"/>
      <w:sz w:val="28"/>
      <w:szCs w:val="24"/>
    </w:rPr>
  </w:style>
  <w:style w:type="paragraph" w:customStyle="1" w:styleId="a6">
    <w:name w:val="頁首"/>
    <w:basedOn w:val="Standard"/>
    <w:pPr>
      <w:tabs>
        <w:tab w:val="center" w:pos="4153"/>
        <w:tab w:val="right" w:pos="8306"/>
      </w:tabs>
      <w:snapToGrid w:val="0"/>
    </w:pPr>
    <w:rPr>
      <w:kern w:val="0"/>
      <w:sz w:val="20"/>
      <w:szCs w:val="20"/>
    </w:rPr>
  </w:style>
  <w:style w:type="paragraph" w:customStyle="1" w:styleId="11">
    <w:name w:val="目1"/>
    <w:basedOn w:val="Standard"/>
    <w:pPr>
      <w:jc w:val="both"/>
    </w:pPr>
    <w:rPr>
      <w:rFonts w:ascii="Times New Roman" w:eastAsia="Times New Roman" w:hAnsi="Times New Roman"/>
      <w:b/>
      <w:sz w:val="32"/>
      <w:szCs w:val="144"/>
    </w:rPr>
  </w:style>
  <w:style w:type="paragraph" w:customStyle="1" w:styleId="2">
    <w:name w:val="目2"/>
    <w:basedOn w:val="Standard"/>
    <w:rPr>
      <w:rFonts w:ascii="Times New Roman" w:eastAsia="Times New Roman" w:hAnsi="Times New Roman"/>
      <w:b/>
      <w:sz w:val="32"/>
      <w:szCs w:val="32"/>
    </w:rPr>
  </w:style>
  <w:style w:type="paragraph" w:customStyle="1" w:styleId="Default">
    <w:name w:val="Default"/>
    <w:pPr>
      <w:suppressAutoHyphens/>
    </w:pPr>
    <w:rPr>
      <w:rFonts w:ascii="標楷體" w:eastAsia="標楷體" w:hAnsi="標楷體" w:cs="標楷體"/>
      <w:color w:val="000000"/>
      <w:szCs w:val="24"/>
    </w:rPr>
  </w:style>
  <w:style w:type="paragraph" w:customStyle="1" w:styleId="a7">
    <w:name w:val="清單段落"/>
    <w:basedOn w:val="Standard"/>
    <w:pPr>
      <w:ind w:left="480"/>
    </w:pPr>
  </w:style>
  <w:style w:type="paragraph" w:customStyle="1" w:styleId="a8">
    <w:name w:val="日期"/>
    <w:basedOn w:val="Standard"/>
    <w:pPr>
      <w:jc w:val="right"/>
    </w:pPr>
  </w:style>
  <w:style w:type="character" w:customStyle="1" w:styleId="a9">
    <w:name w:val="註解方塊文字 字元"/>
    <w:rPr>
      <w:rFonts w:ascii="Cambria" w:eastAsia="新細明體" w:hAnsi="Cambria" w:cs="Times New Roman"/>
      <w:sz w:val="18"/>
      <w:szCs w:val="18"/>
    </w:rPr>
  </w:style>
  <w:style w:type="character" w:customStyle="1" w:styleId="12">
    <w:name w:val="標題 1 字元"/>
    <w:rPr>
      <w:rFonts w:ascii="Arial" w:eastAsia="新細明體" w:hAnsi="Arial" w:cs="Times New Roman"/>
      <w:b/>
      <w:bCs/>
      <w:kern w:val="3"/>
      <w:sz w:val="52"/>
      <w:szCs w:val="52"/>
    </w:rPr>
  </w:style>
  <w:style w:type="character" w:customStyle="1" w:styleId="aa">
    <w:name w:val="頁尾 字元"/>
    <w:rPr>
      <w:rFonts w:ascii="Times New Roman" w:eastAsia="細明體" w:hAnsi="Times New Roman" w:cs="Times New Roman"/>
      <w:kern w:val="0"/>
      <w:sz w:val="20"/>
      <w:szCs w:val="20"/>
    </w:rPr>
  </w:style>
  <w:style w:type="character" w:customStyle="1" w:styleId="ab">
    <w:name w:val="頁碼"/>
    <w:basedOn w:val="a0"/>
  </w:style>
  <w:style w:type="character" w:customStyle="1" w:styleId="ac">
    <w:name w:val="本文縮排 字元"/>
    <w:basedOn w:val="a0"/>
  </w:style>
  <w:style w:type="character" w:customStyle="1" w:styleId="ad">
    <w:name w:val="頁首 字元"/>
    <w:rPr>
      <w:sz w:val="20"/>
      <w:szCs w:val="20"/>
    </w:rPr>
  </w:style>
  <w:style w:type="character" w:customStyle="1" w:styleId="Internetlink">
    <w:name w:val="Internet link"/>
    <w:rPr>
      <w:color w:val="0000FF"/>
      <w:u w:val="single"/>
    </w:rPr>
  </w:style>
  <w:style w:type="character" w:customStyle="1" w:styleId="ae">
    <w:name w:val="本文 字元"/>
    <w:rPr>
      <w:rFonts w:ascii="Times New Roman" w:eastAsia="標楷體" w:hAnsi="Times New Roman" w:cs="Times New Roman"/>
      <w:kern w:val="3"/>
      <w:sz w:val="16"/>
    </w:rPr>
  </w:style>
  <w:style w:type="character" w:customStyle="1" w:styleId="af">
    <w:name w:val="日期 字元"/>
    <w:rPr>
      <w:kern w:val="3"/>
      <w:sz w:val="24"/>
      <w:szCs w:val="22"/>
    </w:rPr>
  </w:style>
  <w:style w:type="character" w:customStyle="1" w:styleId="ListLabel1">
    <w:name w:val="ListLabel 1"/>
    <w:rPr>
      <w:rFonts w:eastAsia="標楷體" w:cs="Arial"/>
    </w:rPr>
  </w:style>
  <w:style w:type="character" w:customStyle="1" w:styleId="ListLabel2">
    <w:name w:val="ListLabel 2"/>
    <w:rPr>
      <w:rFonts w:eastAsia="標楷體"/>
    </w:rPr>
  </w:style>
  <w:style w:type="paragraph" w:styleId="BalloonText">
    <w:name w:val="Balloon Text"/>
    <w:basedOn w:val="Normal"/>
    <w:link w:val="BalloonTextChar"/>
    <w:uiPriority w:val="99"/>
    <w:semiHidden/>
    <w:unhideWhenUsed/>
    <w:rsid w:val="00B93276"/>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93276"/>
    <w:rPr>
      <w:rFonts w:asciiTheme="majorHAnsi" w:eastAsiaTheme="majorEastAsia" w:hAnsiTheme="majorHAnsi" w:cstheme="majorBidi"/>
      <w:sz w:val="18"/>
      <w:szCs w:val="18"/>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1097</Words>
  <Characters>6256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4</cp:revision>
  <cp:lastPrinted>2015-10-23T06:17:00Z</cp:lastPrinted>
  <dcterms:created xsi:type="dcterms:W3CDTF">2022-08-31T08:41:00Z</dcterms:created>
  <dcterms:modified xsi:type="dcterms:W3CDTF">2022-09-01T02:27:00Z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